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63FD" w:rsidRDefault="000D03F1" w:rsidP="00B570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0063FD" w:rsidRPr="000063FD">
        <w:rPr>
          <w:rFonts w:ascii="Times New Roman" w:hAnsi="Times New Roman" w:cs="Times New Roman"/>
          <w:b/>
          <w:bCs/>
          <w:noProof/>
          <w:sz w:val="24"/>
          <w:szCs w:val="24"/>
          <w:lang w:eastAsia="ru-RU"/>
        </w:rPr>
        <w:drawing>
          <wp:inline distT="0" distB="0" distL="0" distR="0">
            <wp:extent cx="5940425" cy="8394404"/>
            <wp:effectExtent l="0" t="0" r="3175" b="6985"/>
            <wp:docPr id="1" name="Рисунок 1" descr="C:\Users\User\Desktop\планета игр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ланета игр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4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063FD" w:rsidRDefault="000063FD" w:rsidP="00B570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C56798" w:rsidRPr="00B5703E" w:rsidRDefault="000D03F1" w:rsidP="00B570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                                                          </w:t>
      </w:r>
      <w:r w:rsidR="00C56798" w:rsidRPr="00B5703E">
        <w:rPr>
          <w:rFonts w:ascii="Times New Roman" w:hAnsi="Times New Roman" w:cs="Times New Roman"/>
          <w:b/>
          <w:bCs/>
          <w:sz w:val="24"/>
          <w:szCs w:val="24"/>
        </w:rPr>
        <w:t>Пояснительная записка</w:t>
      </w:r>
    </w:p>
    <w:p w:rsidR="0037140B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В основе разработки данной программы «Планета игр» лежит игровая технология интеллектуально – творческого развития детей «Сказочные лабиринты игры», а также использование методик </w:t>
      </w:r>
      <w:proofErr w:type="spellStart"/>
      <w:r w:rsidRPr="00B5703E">
        <w:rPr>
          <w:rFonts w:ascii="Times New Roman" w:hAnsi="Times New Roman" w:cs="Times New Roman"/>
          <w:sz w:val="24"/>
          <w:szCs w:val="24"/>
        </w:rPr>
        <w:t>логико</w:t>
      </w:r>
      <w:proofErr w:type="spellEnd"/>
      <w:r w:rsidRPr="00B5703E">
        <w:rPr>
          <w:rFonts w:ascii="Times New Roman" w:hAnsi="Times New Roman" w:cs="Times New Roman"/>
          <w:sz w:val="24"/>
          <w:szCs w:val="24"/>
        </w:rPr>
        <w:t xml:space="preserve">–математического развития, представляющая собой форму взаимодействия детей и взрослых через реализацию определенного сюжета с использованием игровых технологий </w:t>
      </w:r>
      <w:proofErr w:type="spellStart"/>
      <w:r w:rsidRPr="00B5703E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B5703E">
        <w:rPr>
          <w:rFonts w:ascii="Times New Roman" w:hAnsi="Times New Roman" w:cs="Times New Roman"/>
          <w:sz w:val="24"/>
          <w:szCs w:val="24"/>
        </w:rPr>
        <w:t xml:space="preserve">, З. А. Михайловой, блоков </w:t>
      </w:r>
      <w:proofErr w:type="spellStart"/>
      <w:r w:rsidRPr="00B5703E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B5703E">
        <w:rPr>
          <w:rFonts w:ascii="Times New Roman" w:hAnsi="Times New Roman" w:cs="Times New Roman"/>
          <w:sz w:val="24"/>
          <w:szCs w:val="24"/>
        </w:rPr>
        <w:t xml:space="preserve">, палочек </w:t>
      </w:r>
      <w:proofErr w:type="spellStart"/>
      <w:r w:rsidRPr="00B5703E">
        <w:rPr>
          <w:rFonts w:ascii="Times New Roman" w:hAnsi="Times New Roman" w:cs="Times New Roman"/>
          <w:sz w:val="24"/>
          <w:szCs w:val="24"/>
        </w:rPr>
        <w:t>Кьюизенера</w:t>
      </w:r>
      <w:proofErr w:type="spellEnd"/>
      <w:r w:rsidRPr="00B5703E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Главными составляющими компонентами игровой технологии интеллектуально-творческого развития являются: активный, осознанный поиск ребенком способа достижения результата на основе принятия им цели деятельности и самостоятельного размышления по поводу предстоящих практических действий, ведущих к результату.</w:t>
      </w:r>
    </w:p>
    <w:p w:rsidR="0037140B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Преимуществом в выборе данной игровой технологии и методик явилось следующее:</w:t>
      </w:r>
    </w:p>
    <w:p w:rsidR="0037140B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возможность использования этих игр для детей разного возраста;</w:t>
      </w:r>
    </w:p>
    <w:p w:rsidR="0037140B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наличие у развивающих игр замысла, правила. Возможность дополнить игр определенным сказочным сюжетом </w:t>
      </w:r>
    </w:p>
    <w:p w:rsidR="0037140B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– который порождает интерес к приобретаемым знаниям, умениям, навыкам;</w:t>
      </w:r>
    </w:p>
    <w:p w:rsidR="0037140B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вариативность игровых заданий и упражнений, т. е. возможность усложнения их с учетом индивидуальных особенностей развития детей.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творческий потенциал каждой игры.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>Концепция программы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В основе программы лежит система постоянно усложняющихся развивающих игр и познавательных заданий. Игры сопровождаются сказочным сюжетом, в который органично вплетены логические задания на сравнения, анализ, классификацию, обобщение, понимание математических терминов и моделирование. Постоянное усложнение игр позволяет поддерживать детскую деятельность в зоне оптимальной трудности. Деятельность детей в кружке направлена на развитие интеллектуально-творческих способностей и приобретение новых знаний за пределами основной программы дошкольного образования. Распределение программного материала кружка представляет собой систему, предопределяющую интенсивное развитие у детей внимания, памяти, воображения, речи, а также умений для решения логических задач – это умение выявлять в объектах разнообразные свойства, называть их, адекватно обозначать словом их </w:t>
      </w:r>
      <w:r w:rsidRPr="00B5703E">
        <w:rPr>
          <w:rFonts w:ascii="Times New Roman" w:hAnsi="Times New Roman" w:cs="Times New Roman"/>
          <w:sz w:val="24"/>
          <w:szCs w:val="24"/>
        </w:rPr>
        <w:lastRenderedPageBreak/>
        <w:t xml:space="preserve">отсутствие, абстрагировать и удерживать в памяти одно, одновременно два или три свойства, обобщать объекты по одному, двум, трем свойствам с учетом наличия или отсутствия каждого. Интегративно осуществляется </w:t>
      </w:r>
      <w:proofErr w:type="spellStart"/>
      <w:r w:rsidRPr="00B5703E">
        <w:rPr>
          <w:rFonts w:ascii="Times New Roman" w:hAnsi="Times New Roman" w:cs="Times New Roman"/>
          <w:sz w:val="24"/>
          <w:szCs w:val="24"/>
        </w:rPr>
        <w:t>предматематическая</w:t>
      </w:r>
      <w:proofErr w:type="spellEnd"/>
      <w:r w:rsidRPr="00B5703E">
        <w:rPr>
          <w:rFonts w:ascii="Times New Roman" w:hAnsi="Times New Roman" w:cs="Times New Roman"/>
          <w:sz w:val="24"/>
          <w:szCs w:val="24"/>
        </w:rPr>
        <w:t xml:space="preserve"> подготовка, ознакомление с окружающим миром, развиваются речь, изобразительное и конструктивные умения, что способствует творческому развитию личности дошкольника. 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 xml:space="preserve">Актуальность 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Актуальность темы определяется тем, что сегодня особое значение приобретает проблема развития интеллектуально - творческих способностей, креативности ребенка дошкольного возраста, что выступает своеобразной гарантией социализации личности ребенка в обществе. Э. Фромм сформулировал понятие креативности как «способность ребенка, взрослого удивляться и познавать, умение находить решение в нестандартных ситуациях, нацеленность на открытие нового и способность к глубокому осознанию своего опыта». Доказано, ребенок с развитым интеллектом быстрее запоминают материал, более уверен в своих силах, легче адаптируются в новой обстановке, лучше подготовлен к школе, а с творческими способностями – активный, способен принимать свои, ни от кого независящие, самостоятельные решения, у него свой взгляд на мир, и он способен создать нечто новое, оригинальное. Дошкольный возраст имеет богатейшие возможности для развития творческих способностей. Но, к сожалению, эти возможности с течением времени постепенно утрачиваются, поэтому необходимо как можно эффективнее использовать их в дошкольном детстве, когда дети чрезвычайно любознательны, имеют огромное желание познавать окружающий мир. Поощряя любознательность, сообщая детям знания, вовлекая их в различные виды деятельности, можно способствовать расширению детского опыта и накоплению знаний, что является необходимой предпосылкой для творческой деятельности.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 xml:space="preserve"> Новизна 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Новизна данной программы определяются ее направленностью на создание условий для формирования у детей </w:t>
      </w:r>
      <w:r w:rsidR="000D03F1" w:rsidRPr="00B5703E">
        <w:rPr>
          <w:rFonts w:ascii="Times New Roman" w:hAnsi="Times New Roman" w:cs="Times New Roman"/>
          <w:sz w:val="24"/>
          <w:szCs w:val="24"/>
        </w:rPr>
        <w:t>обще учебных</w:t>
      </w:r>
      <w:r w:rsidRPr="00B5703E">
        <w:rPr>
          <w:rFonts w:ascii="Times New Roman" w:hAnsi="Times New Roman" w:cs="Times New Roman"/>
          <w:sz w:val="24"/>
          <w:szCs w:val="24"/>
        </w:rPr>
        <w:t xml:space="preserve"> умений и деятельностных способностей, необходимых для успешного обучения в современной начальной школе. 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>Цель программы</w:t>
      </w:r>
    </w:p>
    <w:p w:rsidR="00C56798" w:rsidRPr="00B5703E" w:rsidRDefault="00C56798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Развитие интеллектуально-творческих способностей дошкольников</w:t>
      </w:r>
    </w:p>
    <w:p w:rsidR="00C56798" w:rsidRPr="000D03F1" w:rsidRDefault="00C56798" w:rsidP="00B570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03F1">
        <w:rPr>
          <w:rFonts w:ascii="Times New Roman" w:hAnsi="Times New Roman" w:cs="Times New Roman"/>
          <w:b/>
          <w:bCs/>
          <w:sz w:val="24"/>
          <w:szCs w:val="24"/>
        </w:rPr>
        <w:t xml:space="preserve">Задачи программы 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1. формирование базисных математических представлений; 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lastRenderedPageBreak/>
        <w:t>2. ознакомление с основными геометрическими понятиями;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3. формирование умения следовать устным инструкциям, читать схемы, овладение навыками моделирование; 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4. развитие у детей мыслительных операций (анализ, сравнение, классификация, обобщение);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5. развитие познавательных процессов (восприятие, внимание, память, воображение);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6. развитие мелкой моторики рук и глазомера;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7. развитие творческих способностей и фантазии, способности к конструированию. 8. воспитание интереса к интеллектуальным играм;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9. формирование стремления доводить начатое дело до конца; 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10. Создание положительного эмоционального настроя у ребёнка;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11. Воспитание у детей личностных качеств - справедливость, доброта, отзывчивость.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>Принципы реализации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Программы - учет индивидуальных особенностей и возможностей детей;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системный и целостный характер; 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- постоянное и постепенное усложнение; 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- рациональное сочетание разных видов деятельности 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- положительная оценка достижений ребенка.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>Условия реализации программы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Занятия проводятся в комнате или группе (Согласно СанПин -13) 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Возраст детей - 6 лет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Форма занятий – групповая.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Количество </w:t>
      </w:r>
      <w:r w:rsidR="000D03F1" w:rsidRPr="00B5703E">
        <w:rPr>
          <w:rFonts w:ascii="Times New Roman" w:hAnsi="Times New Roman" w:cs="Times New Roman"/>
          <w:sz w:val="24"/>
          <w:szCs w:val="24"/>
        </w:rPr>
        <w:t>занятий: группе</w:t>
      </w:r>
      <w:r w:rsidRPr="00B5703E">
        <w:rPr>
          <w:rFonts w:ascii="Times New Roman" w:hAnsi="Times New Roman" w:cs="Times New Roman"/>
          <w:sz w:val="24"/>
          <w:szCs w:val="24"/>
        </w:rPr>
        <w:t xml:space="preserve"> – 1-2 раза в </w:t>
      </w:r>
      <w:r w:rsidR="000D03F1" w:rsidRPr="00B5703E">
        <w:rPr>
          <w:rFonts w:ascii="Times New Roman" w:hAnsi="Times New Roman" w:cs="Times New Roman"/>
          <w:sz w:val="24"/>
          <w:szCs w:val="24"/>
        </w:rPr>
        <w:t>неделю, в</w:t>
      </w:r>
      <w:r w:rsidRPr="00B5703E">
        <w:rPr>
          <w:rFonts w:ascii="Times New Roman" w:hAnsi="Times New Roman" w:cs="Times New Roman"/>
          <w:sz w:val="24"/>
          <w:szCs w:val="24"/>
        </w:rPr>
        <w:t xml:space="preserve"> течение месяца – 4 (5</w:t>
      </w:r>
      <w:r w:rsidR="000D03F1" w:rsidRPr="00B5703E">
        <w:rPr>
          <w:rFonts w:ascii="Times New Roman" w:hAnsi="Times New Roman" w:cs="Times New Roman"/>
          <w:sz w:val="24"/>
          <w:szCs w:val="24"/>
        </w:rPr>
        <w:t>), в</w:t>
      </w:r>
      <w:r w:rsidRPr="00B5703E">
        <w:rPr>
          <w:rFonts w:ascii="Times New Roman" w:hAnsi="Times New Roman" w:cs="Times New Roman"/>
          <w:sz w:val="24"/>
          <w:szCs w:val="24"/>
        </w:rPr>
        <w:t xml:space="preserve"> течение учебного года - 46.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Длительность занятий в группах – в зависимости от возраста и согласно СанПин-13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 xml:space="preserve"> Принципы организации </w:t>
      </w:r>
      <w:r w:rsidR="000D03F1">
        <w:rPr>
          <w:rFonts w:ascii="Times New Roman" w:hAnsi="Times New Roman" w:cs="Times New Roman"/>
          <w:b/>
          <w:bCs/>
          <w:sz w:val="24"/>
          <w:szCs w:val="24"/>
        </w:rPr>
        <w:t>дошкольного образования</w:t>
      </w:r>
      <w:r w:rsidRPr="00B5703E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доступность (соответствие возрастным и индивидуальным особенностям);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lastRenderedPageBreak/>
        <w:t xml:space="preserve"> - наглядность (наличие дидактических материалов);</w:t>
      </w:r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демократичность и гуманизм (взаимодействие педагога и ребенка, реализация творческих потребностей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:rsidR="00C56798" w:rsidRPr="00B5703E" w:rsidRDefault="00C56798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научность (обоснованность, наличие методических рекомендаций и теоретической основы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;</w:t>
      </w:r>
      <w:proofErr w:type="gramEnd"/>
      <w:r w:rsidRPr="00B5703E">
        <w:rPr>
          <w:rFonts w:ascii="Times New Roman" w:hAnsi="Times New Roman" w:cs="Times New Roman"/>
          <w:sz w:val="24"/>
          <w:szCs w:val="24"/>
        </w:rPr>
        <w:t xml:space="preserve"> - «от простого к сложному».</w:t>
      </w:r>
    </w:p>
    <w:p w:rsidR="00E02D35" w:rsidRPr="000D03F1" w:rsidRDefault="00E02D35" w:rsidP="00B570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0D03F1">
        <w:rPr>
          <w:rFonts w:ascii="Times New Roman" w:hAnsi="Times New Roman" w:cs="Times New Roman"/>
          <w:b/>
          <w:bCs/>
          <w:sz w:val="24"/>
          <w:szCs w:val="24"/>
        </w:rPr>
        <w:t>Приемы и методы организации учебно-воспитательного процесса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1. Словесный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2. Наглядный 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3. Практический (работа со схемами, с карточками-свойствами, по алгоритму и т. д.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B57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>4. Методы, в основе которых лежит уровень деятельности детей</w:t>
      </w:r>
      <w:r w:rsidRPr="00B5703E">
        <w:rPr>
          <w:rFonts w:ascii="Times New Roman" w:hAnsi="Times New Roman" w:cs="Times New Roman"/>
          <w:sz w:val="24"/>
          <w:szCs w:val="24"/>
        </w:rPr>
        <w:t>: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объяснительно-иллюстративный (воспринимают и усваивают готовую информацию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;</w:t>
      </w:r>
      <w:proofErr w:type="gramEnd"/>
      <w:r w:rsidRPr="00B57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- репродуктивный (воспроизводят освоенные способы деятельности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частично-поисковый (решение поставленной задачи совместно с педагогом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;</w:t>
      </w:r>
      <w:proofErr w:type="gramEnd"/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-исследовательский (самостоятельная творческая работа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 xml:space="preserve"> 5. Методы, в основе которых лежит форма организации деятельности: </w:t>
      </w:r>
    </w:p>
    <w:p w:rsidR="000D03F1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- фронтальный (одновременно со всей подгруппой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.</w:t>
      </w:r>
      <w:proofErr w:type="gramEnd"/>
    </w:p>
    <w:p w:rsidR="000D03F1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индивидуально-фронтальный; 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- групповой (работа в парах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;</w:t>
      </w:r>
      <w:proofErr w:type="gramEnd"/>
      <w:r w:rsidRPr="00B5703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D03F1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- индивидуальный (выполнение заданий, решение проблем) </w:t>
      </w:r>
    </w:p>
    <w:p w:rsidR="000D03F1" w:rsidRPr="000D03F1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0D03F1">
        <w:rPr>
          <w:rFonts w:ascii="Times New Roman" w:hAnsi="Times New Roman" w:cs="Times New Roman"/>
          <w:sz w:val="24"/>
          <w:szCs w:val="24"/>
          <w:u w:val="single"/>
        </w:rPr>
        <w:t xml:space="preserve"> Дидактический материал и техническое оснащение знаний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-Комплект развивающих игр </w:t>
      </w:r>
      <w:proofErr w:type="spellStart"/>
      <w:r w:rsidRPr="00B5703E">
        <w:rPr>
          <w:rFonts w:ascii="Times New Roman" w:hAnsi="Times New Roman" w:cs="Times New Roman"/>
          <w:sz w:val="24"/>
          <w:szCs w:val="24"/>
        </w:rPr>
        <w:t>Воскобовича</w:t>
      </w:r>
      <w:proofErr w:type="spellEnd"/>
      <w:r w:rsidRPr="00B5703E">
        <w:rPr>
          <w:rFonts w:ascii="Times New Roman" w:hAnsi="Times New Roman" w:cs="Times New Roman"/>
          <w:sz w:val="24"/>
          <w:szCs w:val="24"/>
        </w:rPr>
        <w:t>.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- </w:t>
      </w:r>
      <w:r w:rsidR="000D03F1" w:rsidRPr="00354815">
        <w:rPr>
          <w:rFonts w:ascii="Times New Roman" w:hAnsi="Times New Roman" w:cs="Times New Roman"/>
          <w:sz w:val="24"/>
          <w:szCs w:val="24"/>
        </w:rPr>
        <w:t>Логические блоки</w:t>
      </w:r>
    </w:p>
    <w:p w:rsidR="00E02D35" w:rsidRPr="00B5703E" w:rsidRDefault="00E02D35" w:rsidP="000D03F1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- </w:t>
      </w:r>
      <w:r w:rsidR="000D03F1" w:rsidRPr="00354815">
        <w:rPr>
          <w:rFonts w:ascii="Times New Roman" w:hAnsi="Times New Roman" w:cs="Times New Roman"/>
          <w:sz w:val="24"/>
          <w:szCs w:val="24"/>
        </w:rPr>
        <w:t>Цветные счетные палочки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Схемы, таблицы для игр.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Карточки 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– свойства для логических блоков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lastRenderedPageBreak/>
        <w:t xml:space="preserve"> - Игры, изготовленные по методике З. А. Михайловой</w:t>
      </w:r>
    </w:p>
    <w:p w:rsidR="00E02D35" w:rsidRPr="00B5703E" w:rsidRDefault="00E02D35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- Обручи</w:t>
      </w:r>
    </w:p>
    <w:p w:rsidR="007F57C6" w:rsidRDefault="007F57C6" w:rsidP="00B570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>Механизм оценки получаемых результатов</w:t>
      </w:r>
    </w:p>
    <w:tbl>
      <w:tblPr>
        <w:tblStyle w:val="a3"/>
        <w:tblW w:w="8931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1213"/>
        <w:gridCol w:w="594"/>
        <w:gridCol w:w="1029"/>
        <w:gridCol w:w="992"/>
        <w:gridCol w:w="992"/>
        <w:gridCol w:w="993"/>
        <w:gridCol w:w="708"/>
        <w:gridCol w:w="993"/>
        <w:gridCol w:w="1417"/>
      </w:tblGrid>
      <w:tr w:rsidR="00B5703E" w:rsidTr="009B1C67">
        <w:trPr>
          <w:cantSplit/>
          <w:trHeight w:val="1134"/>
        </w:trPr>
        <w:tc>
          <w:tcPr>
            <w:tcW w:w="1213" w:type="dxa"/>
          </w:tcPr>
          <w:p w:rsidR="00B5703E" w:rsidRP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5703E">
              <w:rPr>
                <w:rFonts w:ascii="Times New Roman" w:hAnsi="Times New Roman" w:cs="Times New Roman"/>
                <w:sz w:val="24"/>
                <w:szCs w:val="24"/>
              </w:rPr>
              <w:t>№ ФИО ребенк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</w:p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  <w:textDirection w:val="btLr"/>
          </w:tcPr>
          <w:p w:rsidR="00B5703E" w:rsidRP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3E">
              <w:rPr>
                <w:rFonts w:ascii="Times New Roman" w:hAnsi="Times New Roman" w:cs="Times New Roman"/>
                <w:sz w:val="24"/>
                <w:szCs w:val="24"/>
              </w:rPr>
              <w:t>Ориентация в пространстве</w:t>
            </w:r>
          </w:p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  <w:textDirection w:val="btLr"/>
          </w:tcPr>
          <w:p w:rsidR="00B5703E" w:rsidRP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3E">
              <w:rPr>
                <w:rFonts w:ascii="Times New Roman" w:hAnsi="Times New Roman" w:cs="Times New Roman"/>
                <w:sz w:val="24"/>
                <w:szCs w:val="24"/>
              </w:rPr>
              <w:t>Развитие мелкой моторики</w:t>
            </w:r>
          </w:p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B5703E" w:rsidRP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3E">
              <w:rPr>
                <w:rFonts w:ascii="Times New Roman" w:hAnsi="Times New Roman" w:cs="Times New Roman"/>
                <w:sz w:val="24"/>
                <w:szCs w:val="24"/>
              </w:rPr>
              <w:t>Уровень развития фантазии</w:t>
            </w:r>
          </w:p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  <w:textDirection w:val="btLr"/>
          </w:tcPr>
          <w:p w:rsidR="00B5703E" w:rsidRP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3E">
              <w:rPr>
                <w:rFonts w:ascii="Times New Roman" w:hAnsi="Times New Roman" w:cs="Times New Roman"/>
                <w:sz w:val="24"/>
                <w:szCs w:val="24"/>
              </w:rPr>
              <w:t>Творческие способности</w:t>
            </w:r>
          </w:p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03E">
              <w:rPr>
                <w:rFonts w:ascii="Times New Roman" w:hAnsi="Times New Roman" w:cs="Times New Roman"/>
                <w:sz w:val="24"/>
                <w:szCs w:val="24"/>
              </w:rPr>
              <w:t>Уровень развития речи</w:t>
            </w:r>
          </w:p>
        </w:tc>
        <w:tc>
          <w:tcPr>
            <w:tcW w:w="708" w:type="dxa"/>
            <w:textDirection w:val="btLr"/>
          </w:tcPr>
          <w:p w:rsidR="00B5703E" w:rsidRP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3E">
              <w:rPr>
                <w:rFonts w:ascii="Times New Roman" w:hAnsi="Times New Roman" w:cs="Times New Roman"/>
                <w:sz w:val="24"/>
                <w:szCs w:val="24"/>
              </w:rPr>
              <w:t>Обобщение</w:t>
            </w:r>
          </w:p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  <w:textDirection w:val="btLr"/>
          </w:tcPr>
          <w:p w:rsidR="00B5703E" w:rsidRDefault="00B5703E" w:rsidP="00B5703E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5703E">
              <w:rPr>
                <w:rFonts w:ascii="Times New Roman" w:hAnsi="Times New Roman" w:cs="Times New Roman"/>
                <w:sz w:val="24"/>
                <w:szCs w:val="24"/>
              </w:rPr>
              <w:t>Операции над множеством</w:t>
            </w:r>
          </w:p>
        </w:tc>
        <w:tc>
          <w:tcPr>
            <w:tcW w:w="1417" w:type="dxa"/>
            <w:textDirection w:val="btLr"/>
          </w:tcPr>
          <w:p w:rsidR="00B5703E" w:rsidRPr="00B5703E" w:rsidRDefault="00B5703E" w:rsidP="009B1C67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B5703E">
              <w:rPr>
                <w:rFonts w:ascii="Times New Roman" w:hAnsi="Times New Roman" w:cs="Times New Roman"/>
                <w:sz w:val="24"/>
                <w:szCs w:val="24"/>
              </w:rPr>
              <w:t xml:space="preserve">Элементарные математические знания </w:t>
            </w:r>
          </w:p>
          <w:p w:rsidR="00B5703E" w:rsidRDefault="00B5703E" w:rsidP="009B1C67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1C67" w:rsidRDefault="009B1C67" w:rsidP="009B1C67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1C67" w:rsidRDefault="009B1C67" w:rsidP="009B1C67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1C67" w:rsidRDefault="009B1C67" w:rsidP="009B1C67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9B1C67" w:rsidRDefault="009B1C67" w:rsidP="009B1C67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03E" w:rsidRDefault="00B5703E" w:rsidP="009B1C67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03E" w:rsidRDefault="00B5703E" w:rsidP="009B1C67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703E" w:rsidRDefault="00B5703E" w:rsidP="009B1C67">
            <w:pPr>
              <w:spacing w:line="360" w:lineRule="auto"/>
              <w:ind w:left="113" w:right="11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03E" w:rsidTr="009B1C67">
        <w:tc>
          <w:tcPr>
            <w:tcW w:w="1213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B5703E" w:rsidTr="009B1C67">
        <w:tc>
          <w:tcPr>
            <w:tcW w:w="1213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94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29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2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08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993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17" w:type="dxa"/>
          </w:tcPr>
          <w:p w:rsidR="00B5703E" w:rsidRDefault="00B5703E" w:rsidP="00B5703E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>Ожидаемые результаты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В ходе работы кружка дети овладевают знаниями и умениями: 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• иметь элементарные математические представления; 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• уметь производить операции над множествами (сравнение, разбиение, классификация, абстрагирование, внимательно слушать и решать простейшие задачи, выделяя признаки предметов;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• уметь обобщать объекты по их свойствам, объяснять сходства и различия объектов, обосновывать свои рассуждения, систематизировать и классифицировать геометрические фигуры; • ориентироваться в пространстве; 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• фантазировать, моделировать, конструировать; 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• уметь составлять целое из частей;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• уметь пользоваться схемой (конструировать по схеме и без неё)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• уметь прокомментировать свои действия, дать анализ своей деятельности, своим способностям.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• выражать свои мысли и суждения при помощи точной и ясной речи.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• слышать и слушать друг друга; 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>• проявлять индивидуальные и творческие способности.</w:t>
      </w:r>
    </w:p>
    <w:p w:rsidR="007F57C6" w:rsidRPr="00B5703E" w:rsidRDefault="007F57C6" w:rsidP="00B5703E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 xml:space="preserve"> Формы контроля</w:t>
      </w:r>
      <w:r w:rsidRPr="00B5703E">
        <w:rPr>
          <w:rFonts w:ascii="Times New Roman" w:hAnsi="Times New Roman" w:cs="Times New Roman"/>
          <w:sz w:val="24"/>
          <w:szCs w:val="24"/>
        </w:rPr>
        <w:t>: наблюдение, беседа, объяснение детей, педагогическая диагностика.</w:t>
      </w:r>
    </w:p>
    <w:p w:rsidR="007F57C6" w:rsidRPr="00B5703E" w:rsidRDefault="007F57C6" w:rsidP="00B5703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</w:t>
      </w:r>
      <w:r w:rsidRPr="00B5703E">
        <w:rPr>
          <w:rFonts w:ascii="Times New Roman" w:hAnsi="Times New Roman" w:cs="Times New Roman"/>
          <w:b/>
          <w:bCs/>
          <w:sz w:val="24"/>
          <w:szCs w:val="24"/>
        </w:rPr>
        <w:t>Качественная реализация программы</w:t>
      </w:r>
      <w:r w:rsidRPr="00B5703E">
        <w:rPr>
          <w:rFonts w:ascii="Times New Roman" w:hAnsi="Times New Roman" w:cs="Times New Roman"/>
          <w:sz w:val="24"/>
          <w:szCs w:val="24"/>
        </w:rPr>
        <w:t xml:space="preserve"> невозможна без определения уровня развития детей. Рекомендуется диагностика психологическая, которая поможет определить уровень интеллектуального развития детей. Ее проводит психолог при помощи классических, </w:t>
      </w:r>
      <w:r w:rsidRPr="00B5703E">
        <w:rPr>
          <w:rFonts w:ascii="Times New Roman" w:hAnsi="Times New Roman" w:cs="Times New Roman"/>
          <w:sz w:val="24"/>
          <w:szCs w:val="24"/>
        </w:rPr>
        <w:lastRenderedPageBreak/>
        <w:t>адаптированных к дошкольному возрасту тестов (Векслера, Бене-Термена и др.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) .</w:t>
      </w:r>
      <w:proofErr w:type="gramEnd"/>
      <w:r w:rsidRPr="00B5703E">
        <w:rPr>
          <w:rFonts w:ascii="Times New Roman" w:hAnsi="Times New Roman" w:cs="Times New Roman"/>
          <w:sz w:val="24"/>
          <w:szCs w:val="24"/>
        </w:rPr>
        <w:t xml:space="preserve"> Не менее важно и педагогическое обследование, которое показывает качество освоения детьми образовательного материала программы. Результатом хорошего освоения образовательного материала является перенос представлений и умений на другие игры (</w:t>
      </w:r>
      <w:proofErr w:type="gramStart"/>
      <w:r w:rsidRPr="00B5703E">
        <w:rPr>
          <w:rFonts w:ascii="Times New Roman" w:hAnsi="Times New Roman" w:cs="Times New Roman"/>
          <w:sz w:val="24"/>
          <w:szCs w:val="24"/>
        </w:rPr>
        <w:t>например</w:t>
      </w:r>
      <w:proofErr w:type="gramEnd"/>
      <w:r w:rsidRPr="00B5703E">
        <w:rPr>
          <w:rFonts w:ascii="Times New Roman" w:hAnsi="Times New Roman" w:cs="Times New Roman"/>
          <w:sz w:val="24"/>
          <w:szCs w:val="24"/>
        </w:rPr>
        <w:t xml:space="preserve"> развивающие игры Никитина, Монтессори) и высокие показатели усвоения программного материала. </w:t>
      </w:r>
    </w:p>
    <w:p w:rsidR="007F57C6" w:rsidRPr="00B5703E" w:rsidRDefault="007F57C6" w:rsidP="00B5703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703E">
        <w:rPr>
          <w:rFonts w:ascii="Times New Roman" w:hAnsi="Times New Roman" w:cs="Times New Roman"/>
          <w:b/>
          <w:bCs/>
          <w:sz w:val="24"/>
          <w:szCs w:val="24"/>
        </w:rPr>
        <w:t xml:space="preserve">Формы проведения итогов реализации программы </w:t>
      </w:r>
    </w:p>
    <w:p w:rsidR="00F9110C" w:rsidRDefault="007F57C6" w:rsidP="00F9110C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703E">
        <w:rPr>
          <w:rFonts w:ascii="Times New Roman" w:hAnsi="Times New Roman" w:cs="Times New Roman"/>
          <w:sz w:val="24"/>
          <w:szCs w:val="24"/>
        </w:rPr>
        <w:t xml:space="preserve"> Викторина в старшей</w:t>
      </w:r>
      <w:r w:rsidR="00B5703E">
        <w:rPr>
          <w:rFonts w:ascii="Times New Roman" w:hAnsi="Times New Roman" w:cs="Times New Roman"/>
          <w:sz w:val="24"/>
          <w:szCs w:val="24"/>
        </w:rPr>
        <w:t xml:space="preserve"> </w:t>
      </w:r>
      <w:r w:rsidRPr="00B5703E">
        <w:rPr>
          <w:rFonts w:ascii="Times New Roman" w:hAnsi="Times New Roman" w:cs="Times New Roman"/>
          <w:sz w:val="24"/>
          <w:szCs w:val="24"/>
        </w:rPr>
        <w:t>группах.</w:t>
      </w:r>
    </w:p>
    <w:p w:rsidR="00F9110C" w:rsidRPr="00F9110C" w:rsidRDefault="00F9110C" w:rsidP="00F9110C">
      <w:pPr>
        <w:rPr>
          <w:rFonts w:ascii="Times New Roman" w:hAnsi="Times New Roman" w:cs="Times New Roman"/>
        </w:rPr>
      </w:pPr>
      <w:r w:rsidRPr="00F9110C">
        <w:rPr>
          <w:rFonts w:ascii="Times New Roman" w:hAnsi="Times New Roman" w:cs="Times New Roman"/>
          <w:b/>
          <w:bCs/>
          <w:sz w:val="24"/>
          <w:szCs w:val="24"/>
        </w:rPr>
        <w:t>Учебно-тематический план</w:t>
      </w:r>
      <w:r w:rsidRPr="00F9110C">
        <w:rPr>
          <w:rFonts w:ascii="Times New Roman" w:hAnsi="Times New Roman" w:cs="Times New Roman"/>
        </w:rPr>
        <w:t>.</w:t>
      </w: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516"/>
        <w:gridCol w:w="1566"/>
        <w:gridCol w:w="4252"/>
        <w:gridCol w:w="1693"/>
        <w:gridCol w:w="1607"/>
      </w:tblGrid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Тема Раздел</w:t>
            </w:r>
          </w:p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86" w:type="dxa"/>
            <w:gridSpan w:val="2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Количество часов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теоретические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практические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Игры на развитие зрительной системы Развитие восприятия и формирование представлений о внешних свойствах предметов: величине, форме, цвете</w:t>
            </w: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слуховой системы </w:t>
            </w:r>
            <w:proofErr w:type="gramStart"/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Настраивать</w:t>
            </w:r>
            <w:proofErr w:type="gramEnd"/>
            <w:r w:rsidRPr="00F9110C">
              <w:rPr>
                <w:rFonts w:ascii="Times New Roman" w:hAnsi="Times New Roman" w:cs="Times New Roman"/>
                <w:sz w:val="24"/>
                <w:szCs w:val="24"/>
              </w:rPr>
              <w:t xml:space="preserve"> слуховой аппарат на лучшее восприятие; находить источник звука, реагировать на изменение в звуковой среде</w:t>
            </w: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Игры на развитие внимания Развитие у детей устойчивости слухового внимания и умение его переключать</w:t>
            </w: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Игры на развитие памяти Развитие зрительно-эмоциональной памяти - как основы для быстрого совершенствования речи, умение пользоваться предметами домашнего обихода</w:t>
            </w: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Январь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 xml:space="preserve">Игры на развитие воображение Освоение, детьми окружающего мира, </w:t>
            </w:r>
            <w:r w:rsidRPr="00F91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выходя за пределы узкого личного опыты</w:t>
            </w: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Игры на развитие мышления Формирование умение дослушивать задания до конца, осмысливать его и выполнять соответствующие действия</w:t>
            </w: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Игры на развитие речи Развитие речевого дыхания и звукового аппарата, развитие речевого слуха и речевой активности</w:t>
            </w: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. Игры на развитие воли Воспитание дисциплины, развитие устойчивого внимания, развитие умения действовать согласовано развитие игровых навыков</w:t>
            </w: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F9110C" w:rsidRPr="00F9110C" w:rsidTr="00F9110C">
        <w:tc>
          <w:tcPr>
            <w:tcW w:w="52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00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4426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Общение Развитие зрительного восприятия, внимания, речи, воображения, волевых процессов. Снятие агрессии, снижение импульсивности</w:t>
            </w:r>
          </w:p>
        </w:tc>
        <w:tc>
          <w:tcPr>
            <w:tcW w:w="1592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94" w:type="dxa"/>
          </w:tcPr>
          <w:p w:rsidR="00F9110C" w:rsidRPr="00F9110C" w:rsidRDefault="00F9110C" w:rsidP="00F9110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9110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</w:tbl>
    <w:p w:rsidR="00F9110C" w:rsidRDefault="00F9110C" w:rsidP="00F9110C"/>
    <w:p w:rsidR="00F9110C" w:rsidRPr="00354815" w:rsidRDefault="00F9110C" w:rsidP="00F9110C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354815">
        <w:rPr>
          <w:rFonts w:ascii="Times New Roman" w:hAnsi="Times New Roman" w:cs="Times New Roman"/>
          <w:b/>
          <w:bCs/>
          <w:sz w:val="24"/>
          <w:szCs w:val="24"/>
        </w:rPr>
        <w:t xml:space="preserve">Методическое обеспечение дополнительной образовательной программы. 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1. Психологический набор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Пертра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>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2. И.А. Лыкова, И.В. Мальцева, «Цвет в игрушках». ЛОГИКО малыш, Психология, издательский дом «Зимородок».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3. Т.А.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Барчан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>, «Лабиринты». ЛОГИКО малыш, Психология, издательский дом «Зимородок».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4. И.В. Мальцева,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М.Фиммен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>, «Летние игры», ЛОГИКО малыш, Психология, издательский дом «Зимородок».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5. И.А. Лыкова, И.В. Мальцева, «Цвет в природе». ЛОГИКО малыш, Психология, издательский дом «Зимородок»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. 6. Е.Ю. Протасова, «Соответствия». ЛОГИКО малыш, Психология, издательский дом «Зимородок». 7. Е.Ю. Протасова, «Опасности вокруг нас». ЛОГИКО малыш, ОБЖ, издательский дом «Карапуз». 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lastRenderedPageBreak/>
        <w:t xml:space="preserve">8. Е.Ю. Протасова, «Внимание! Опасность!». ЛОГИКО малыш, ОБЖ, издательский дом «Карапуз». 9. Н.М. Родина, «Последовательности». ЛОГИКО малыш, Бытовая культура, издательский дом «Зимородок». 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10. Учебно-игровое пособие. Логические блоки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11. Обучающее пособие. Цветные счетные палочки,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12. Серия Блоки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. «Поиск затонувшего клада», «Блоки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 для самых маленьких», «Праздник в стране Блоков», «Лепим нелепицы», «Маленькие логики». 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13. Палочки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 «Волшебные дорожки», «Дом с колокольчиком».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14. Палочки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, Блоки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 «Вместе весело играть».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15.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Кюизенер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 «Посудная лавка,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кростики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>».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16. Страна Блоков и Палочек. 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17. Палочки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Кюизенера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 «На золотом крыльце …». 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18. Игры с логическими блоками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Дьенеша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 «Давайте вместе поиграем».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19.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Schatti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Dusyma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54815" w:rsidRDefault="00354815" w:rsidP="00F9110C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b/>
          <w:bCs/>
          <w:sz w:val="24"/>
          <w:szCs w:val="24"/>
        </w:rPr>
        <w:t>Список используемой литературы.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1. Федеральный закон от 29.12.2012 N 273-ФЗ (ред. от 31.12.2014) "Об образовании в Российской Федерации" 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>2. Приказ Минобрнауки России от 17.10.2013 N 1155 «Об утверждении федерального государственного образовательного стандарта дошкольного образования»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3. Бондаренко Т. М. Развивающие игры в ДОУ. Воронеж, 2009.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Воскобович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 В. В.,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Харько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 Т. Г. Сказочные лабиринты игры. Игровая технология интеллектуально-творческого развития детей 3-7 лет. СПб., 2007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>. 5. Михайлова З. А., Иоффе Э. Н. Математика от трех до семи. СПб., 2003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Под</w:t>
      </w:r>
      <w:r w:rsidR="00354815" w:rsidRPr="00354815">
        <w:rPr>
          <w:rFonts w:ascii="Times New Roman" w:hAnsi="Times New Roman" w:cs="Times New Roman"/>
          <w:sz w:val="24"/>
          <w:szCs w:val="24"/>
        </w:rPr>
        <w:t>ъ</w:t>
      </w:r>
      <w:r w:rsidRPr="00354815">
        <w:rPr>
          <w:rFonts w:ascii="Times New Roman" w:hAnsi="Times New Roman" w:cs="Times New Roman"/>
          <w:sz w:val="24"/>
          <w:szCs w:val="24"/>
        </w:rPr>
        <w:t>яков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 xml:space="preserve"> Н. Н. Умственное воспитание детей дошкольного возраста. М., 1988г.</w:t>
      </w:r>
    </w:p>
    <w:p w:rsidR="00F9110C" w:rsidRPr="00354815" w:rsidRDefault="00F9110C" w:rsidP="00F9110C">
      <w:pPr>
        <w:rPr>
          <w:rFonts w:ascii="Times New Roman" w:hAnsi="Times New Roman" w:cs="Times New Roman"/>
          <w:sz w:val="24"/>
          <w:szCs w:val="24"/>
        </w:rPr>
      </w:pPr>
      <w:r w:rsidRPr="00354815">
        <w:rPr>
          <w:rFonts w:ascii="Times New Roman" w:hAnsi="Times New Roman" w:cs="Times New Roman"/>
          <w:sz w:val="24"/>
          <w:szCs w:val="24"/>
        </w:rPr>
        <w:t xml:space="preserve"> 7. Умственное воспитание детей дошкольного возраста / Под ред. Н.Н. </w:t>
      </w:r>
      <w:proofErr w:type="spellStart"/>
      <w:r w:rsidRPr="00354815">
        <w:rPr>
          <w:rFonts w:ascii="Times New Roman" w:hAnsi="Times New Roman" w:cs="Times New Roman"/>
          <w:sz w:val="24"/>
          <w:szCs w:val="24"/>
        </w:rPr>
        <w:t>Поддьякова</w:t>
      </w:r>
      <w:proofErr w:type="spellEnd"/>
      <w:r w:rsidRPr="00354815">
        <w:rPr>
          <w:rFonts w:ascii="Times New Roman" w:hAnsi="Times New Roman" w:cs="Times New Roman"/>
          <w:sz w:val="24"/>
          <w:szCs w:val="24"/>
        </w:rPr>
        <w:t>, Ф.А. Сохина. - М.: Просвещение, 1988.</w:t>
      </w:r>
    </w:p>
    <w:sectPr w:rsidR="00F9110C" w:rsidRPr="003548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6798"/>
    <w:rsid w:val="000063FD"/>
    <w:rsid w:val="000D03F1"/>
    <w:rsid w:val="00354815"/>
    <w:rsid w:val="0037140B"/>
    <w:rsid w:val="005C5D47"/>
    <w:rsid w:val="007F57C6"/>
    <w:rsid w:val="009B1C67"/>
    <w:rsid w:val="00A7175C"/>
    <w:rsid w:val="00B5703E"/>
    <w:rsid w:val="00C56798"/>
    <w:rsid w:val="00E02D35"/>
    <w:rsid w:val="00EB4BD2"/>
    <w:rsid w:val="00F9110C"/>
    <w:rsid w:val="00FF5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96A3F9C-BB3C-4203-8A2E-1229DF581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703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9</Pages>
  <Words>1904</Words>
  <Characters>10856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2023-09-04T06:54:00Z</dcterms:created>
  <dcterms:modified xsi:type="dcterms:W3CDTF">2025-10-13T01:48:00Z</dcterms:modified>
</cp:coreProperties>
</file>